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7D" w:rsidRPr="008D727D" w:rsidRDefault="008D727D" w:rsidP="008D727D">
      <w:pPr>
        <w:jc w:val="center"/>
        <w:rPr>
          <w:rFonts w:ascii="Times New Roman" w:hAnsi="Times New Roman"/>
          <w:bCs/>
          <w:color w:val="1D1B11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</w:rPr>
        <w:t>МУНИЦИПАЛЬНОЕ ОБРАЗОВАНИЕ «УСТЬ-ТЫМСКОЕ СЕЛЬСКОЕ ПОСЕЛЕНИЕ»</w:t>
      </w:r>
    </w:p>
    <w:p w:rsidR="008D727D" w:rsidRDefault="008D727D" w:rsidP="008D727D">
      <w:pPr>
        <w:spacing w:after="0"/>
        <w:jc w:val="center"/>
        <w:rPr>
          <w:rFonts w:ascii="Times New Roman" w:hAnsi="Times New Roman"/>
          <w:bCs/>
          <w:color w:val="1D1B11"/>
          <w:sz w:val="24"/>
        </w:rPr>
      </w:pPr>
      <w:r>
        <w:rPr>
          <w:rFonts w:ascii="Times New Roman" w:hAnsi="Times New Roman"/>
          <w:bCs/>
          <w:color w:val="1D1B11"/>
          <w:sz w:val="24"/>
        </w:rPr>
        <w:t>ТОМСКАЯ ОБЛАСТЬ</w:t>
      </w:r>
    </w:p>
    <w:p w:rsidR="008D727D" w:rsidRDefault="008D727D" w:rsidP="008D727D">
      <w:pPr>
        <w:jc w:val="center"/>
        <w:rPr>
          <w:rFonts w:ascii="Times New Roman" w:hAnsi="Times New Roman"/>
          <w:bCs/>
          <w:color w:val="1D1B11"/>
          <w:sz w:val="24"/>
        </w:rPr>
      </w:pPr>
      <w:r>
        <w:rPr>
          <w:rFonts w:ascii="Times New Roman" w:hAnsi="Times New Roman"/>
          <w:bCs/>
          <w:color w:val="1D1B11"/>
          <w:sz w:val="24"/>
        </w:rPr>
        <w:t>КАРГАСОКСКИЙ РАЙОН</w:t>
      </w:r>
    </w:p>
    <w:p w:rsidR="008D727D" w:rsidRDefault="008D727D" w:rsidP="008D727D">
      <w:pPr>
        <w:jc w:val="center"/>
        <w:rPr>
          <w:rFonts w:ascii="Times New Roman" w:hAnsi="Times New Roman"/>
          <w:b/>
          <w:bCs/>
          <w:color w:val="1D1B11"/>
          <w:sz w:val="24"/>
        </w:rPr>
      </w:pPr>
      <w:r>
        <w:rPr>
          <w:rFonts w:ascii="Times New Roman" w:hAnsi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8D727D" w:rsidRPr="008D727D" w:rsidRDefault="008D727D" w:rsidP="008D727D">
      <w:pPr>
        <w:jc w:val="center"/>
        <w:rPr>
          <w:rFonts w:ascii="Times New Roman" w:hAnsi="Times New Roman"/>
          <w:b/>
          <w:bCs/>
          <w:color w:val="1D1B11"/>
          <w:sz w:val="24"/>
        </w:rPr>
      </w:pPr>
      <w:r>
        <w:rPr>
          <w:rFonts w:ascii="Times New Roman" w:hAnsi="Times New Roman"/>
          <w:b/>
          <w:bCs/>
          <w:color w:val="1D1B11"/>
          <w:sz w:val="24"/>
        </w:rPr>
        <w:t>ПОСТАНОВЛЕНИЕ</w:t>
      </w:r>
    </w:p>
    <w:p w:rsidR="008D727D" w:rsidRDefault="008D727D" w:rsidP="008D727D">
      <w:pPr>
        <w:spacing w:after="0"/>
        <w:ind w:left="397" w:hanging="36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04.12.2015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4"/>
        </w:rPr>
        <w:t>№ 54</w:t>
      </w:r>
    </w:p>
    <w:p w:rsidR="00BA2D63" w:rsidRPr="008D727D" w:rsidRDefault="008D727D" w:rsidP="008D727D">
      <w:pPr>
        <w:ind w:left="360" w:hanging="36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с. Усть-Тым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D727D" w:rsidTr="008D727D">
        <w:trPr>
          <w:trHeight w:val="17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D727D" w:rsidRPr="008D727D" w:rsidRDefault="008D727D" w:rsidP="008D7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определении размера вреда, причиняемого при движении по автомобильным дорогам местного значения тяжеловесными транспортными средствами в муниципальном образовании «Усть-Тымское» сельское поселение</w:t>
            </w:r>
          </w:p>
          <w:p w:rsidR="008D727D" w:rsidRDefault="008D7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966D26" w:rsidRPr="008D727D" w:rsidRDefault="00BA2D63" w:rsidP="008D727D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</w:t>
      </w:r>
      <w:r w:rsidR="00966D26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hyperlink r:id="rId5" w:history="1">
        <w:r w:rsidR="00966D26" w:rsidRPr="008D727D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частью 7 статьи 1</w:t>
        </w:r>
      </w:hyperlink>
      <w:r w:rsidR="00966D26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3, </w:t>
      </w:r>
      <w:hyperlink r:id="rId6" w:history="1">
        <w:r w:rsidR="00966D26" w:rsidRPr="008D727D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частью 9 статьи 31</w:t>
        </w:r>
      </w:hyperlink>
      <w:r w:rsidR="00966D26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526CEE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, Федеральным законом от 15 июля 2015 года № 248-ФЗ «О внеснии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BA2D63" w:rsidRPr="008D727D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BA2D63" w:rsidRPr="008D727D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A2D63" w:rsidRPr="008D727D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 </w:t>
      </w:r>
      <w:r w:rsidR="00526CEE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Утвердить </w:t>
      </w:r>
      <w:r w:rsidR="00966D26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Показатели размера вреда, </w:t>
      </w:r>
      <w:r w:rsidR="00526CEE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причиняемого при движении по автомобильным дорогам местного значения тяжеловесными транспортными средствами в муниципальном образовании «</w:t>
      </w:r>
      <w:r w:rsidR="008D727D">
        <w:rPr>
          <w:rFonts w:ascii="Times New Roman" w:hAnsi="Times New Roman"/>
          <w:color w:val="1D1B11" w:themeColor="background2" w:themeShade="1A"/>
          <w:sz w:val="24"/>
          <w:szCs w:val="24"/>
        </w:rPr>
        <w:t>Усть-Тым</w:t>
      </w:r>
      <w:r w:rsidR="00526CEE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ское сельское поселение», </w:t>
      </w:r>
      <w:r w:rsidR="00966D26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согласно приложению к настоящему постановлению.</w:t>
      </w:r>
    </w:p>
    <w:p w:rsidR="00BA2D63" w:rsidRPr="008D727D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BA2D63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. Настоящее постановление вступает в силу с момента его официального обнародования.</w:t>
      </w:r>
    </w:p>
    <w:p w:rsidR="00BA2D63" w:rsidRPr="008D727D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BA2D63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. Обнародовать настоящее постановление в порядке, предусмотренном Уставом муницип</w:t>
      </w:r>
      <w:r w:rsidR="008D727D">
        <w:rPr>
          <w:rFonts w:ascii="Times New Roman" w:hAnsi="Times New Roman"/>
          <w:color w:val="1D1B11" w:themeColor="background2" w:themeShade="1A"/>
          <w:sz w:val="24"/>
          <w:szCs w:val="24"/>
        </w:rPr>
        <w:t>ального образования «Усть-Тым</w:t>
      </w:r>
      <w:r w:rsidR="00BA2D63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ское сельское поселение».</w:t>
      </w:r>
    </w:p>
    <w:p w:rsidR="00BA2D63" w:rsidRPr="008D727D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BA2D63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BA2D63" w:rsidRPr="008D727D">
        <w:rPr>
          <w:rFonts w:ascii="Cambria Math" w:hAnsi="Cambria Math" w:cs="Cambria Math"/>
          <w:color w:val="1D1B11" w:themeColor="background2" w:themeShade="1A"/>
          <w:sz w:val="24"/>
          <w:szCs w:val="24"/>
        </w:rPr>
        <w:t>​</w:t>
      </w:r>
      <w:r w:rsidR="00BA2D63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BA2D63" w:rsidRPr="008D727D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A2D63" w:rsidRPr="008D727D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D727D" w:rsidRDefault="008D7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Глава Усть-Тымского</w:t>
      </w:r>
    </w:p>
    <w:p w:rsidR="00BA2D63" w:rsidRPr="008D727D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</w:t>
      </w:r>
      <w:r w:rsidR="004B02DC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</w:t>
      </w:r>
      <w:r w:rsid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А.А. Сысолин</w:t>
      </w:r>
    </w:p>
    <w:p w:rsidR="00BA2D63" w:rsidRPr="008D727D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B02DC" w:rsidRPr="008D727D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B02DC" w:rsidRPr="008D727D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26CEE" w:rsidRPr="008D727D" w:rsidRDefault="00526CEE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26CEE" w:rsidRDefault="00526CEE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D727D" w:rsidRDefault="008D727D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D727D" w:rsidRPr="008D727D" w:rsidRDefault="008D727D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908F9" w:rsidRPr="008D727D" w:rsidRDefault="001908F9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Утверждены</w:t>
      </w:r>
    </w:p>
    <w:p w:rsidR="001908F9" w:rsidRPr="008D727D" w:rsidRDefault="001908F9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постановлением Администрации</w:t>
      </w:r>
    </w:p>
    <w:p w:rsidR="001908F9" w:rsidRPr="008D727D" w:rsidRDefault="008D727D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</w:t>
      </w:r>
      <w:r w:rsidR="00526CEE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ского сельского поселения</w:t>
      </w:r>
    </w:p>
    <w:p w:rsidR="001908F9" w:rsidRPr="008D727D" w:rsidRDefault="001908F9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</w:t>
      </w:r>
      <w:r w:rsidR="008D727D">
        <w:rPr>
          <w:rFonts w:ascii="Times New Roman" w:hAnsi="Times New Roman"/>
          <w:color w:val="1D1B11" w:themeColor="background2" w:themeShade="1A"/>
          <w:sz w:val="24"/>
          <w:szCs w:val="24"/>
        </w:rPr>
        <w:t>03.12</w:t>
      </w:r>
      <w:r w:rsidR="00504A68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201</w:t>
      </w:r>
      <w:r w:rsidR="00526CEE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5 г.</w:t>
      </w: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</w:t>
      </w:r>
      <w:r w:rsid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54</w:t>
      </w: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1908F9" w:rsidRPr="008D727D" w:rsidRDefault="001908F9" w:rsidP="001908F9">
      <w:pPr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1908F9" w:rsidRPr="008D727D" w:rsidRDefault="001908F9" w:rsidP="001908F9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908F9" w:rsidRPr="008D727D" w:rsidRDefault="001908F9" w:rsidP="001908F9">
      <w:pPr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ПОКАЗАТЕЛИ</w:t>
      </w:r>
    </w:p>
    <w:p w:rsidR="008D727D" w:rsidRDefault="001908F9" w:rsidP="0052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размер вреда, </w:t>
      </w:r>
      <w:r w:rsidR="00526CEE"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причиняемого при движении по автомобильным дорогам местного значения тяжеловесными транспортными средствами в муниципальном образовании </w:t>
      </w:r>
    </w:p>
    <w:p w:rsidR="001908F9" w:rsidRPr="008D727D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="008D727D">
        <w:rPr>
          <w:rFonts w:ascii="Times New Roman" w:hAnsi="Times New Roman"/>
          <w:color w:val="1D1B11" w:themeColor="background2" w:themeShade="1A"/>
          <w:sz w:val="24"/>
          <w:szCs w:val="24"/>
        </w:rPr>
        <w:t>Усть-Тым</w:t>
      </w: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ское сельское поселение»</w:t>
      </w:r>
    </w:p>
    <w:p w:rsidR="001908F9" w:rsidRPr="008D727D" w:rsidRDefault="001908F9" w:rsidP="001908F9">
      <w:pPr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908F9" w:rsidRPr="008D727D" w:rsidRDefault="001908F9" w:rsidP="001908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Размер вреда при превышении значения</w:t>
      </w:r>
    </w:p>
    <w:p w:rsidR="001908F9" w:rsidRPr="008D727D" w:rsidRDefault="001908F9" w:rsidP="001908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предельно допустимой массы транспортного средства</w:t>
      </w:r>
    </w:p>
    <w:tbl>
      <w:tblPr>
        <w:tblW w:w="496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5"/>
        <w:gridCol w:w="1620"/>
        <w:gridCol w:w="2126"/>
        <w:gridCol w:w="3581"/>
      </w:tblGrid>
      <w:tr w:rsidR="001908F9" w:rsidRPr="008D727D" w:rsidTr="00F32AAC">
        <w:trPr>
          <w:trHeight w:val="453"/>
          <w:tblCellSpacing w:w="5" w:type="nil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Размер вреда (рублей на 100 км)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(рублей на 100 км)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1 апреля текущего года по 30 ноября текущего года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1 декабря текущего года по 31 марта следующего года</w:t>
            </w:r>
          </w:p>
        </w:tc>
        <w:tc>
          <w:tcPr>
            <w:tcW w:w="1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 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5 до 7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285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7 до 10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395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39,5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395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10 до 15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15 до 20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760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76,0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760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20 до 25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1035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103,5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1035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25 до 30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1365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136,5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1365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30 до 35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1730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173,0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1730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35 до 40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2155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215,5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2155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40 до 45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2670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267,0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2670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45 до 50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3255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325,5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3255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50</w:t>
            </w:r>
          </w:p>
        </w:tc>
        <w:tc>
          <w:tcPr>
            <w:tcW w:w="37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 отдельному расчету </w:t>
            </w:r>
            <w:hyperlink w:anchor="Par89" w:history="1">
              <w:r w:rsidRPr="008D727D">
                <w:rPr>
                  <w:rFonts w:ascii="Times New Roman" w:hAnsi="Times New Roman" w:cs="Times New Roman"/>
                  <w:color w:val="1D1B11" w:themeColor="background2" w:themeShade="1A"/>
                  <w:sz w:val="24"/>
                  <w:szCs w:val="24"/>
                </w:rPr>
                <w:t>&lt;*&gt;</w:t>
              </w:r>
            </w:hyperlink>
          </w:p>
        </w:tc>
      </w:tr>
    </w:tbl>
    <w:p w:rsidR="001908F9" w:rsidRPr="008D727D" w:rsidRDefault="001908F9" w:rsidP="001908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--------------------------------</w:t>
      </w:r>
    </w:p>
    <w:p w:rsidR="001908F9" w:rsidRPr="008D727D" w:rsidRDefault="001908F9" w:rsidP="001908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" w:name="Par89"/>
      <w:bookmarkEnd w:id="1"/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1908F9" w:rsidRPr="008D727D" w:rsidRDefault="001908F9" w:rsidP="001908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908F9" w:rsidRPr="008D727D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Размер вреда при превышении значений предельно допустимых</w:t>
      </w:r>
    </w:p>
    <w:p w:rsidR="001908F9" w:rsidRPr="008D727D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осевых нагрузок на каждую ось транспортного средства</w:t>
      </w:r>
    </w:p>
    <w:p w:rsidR="001908F9" w:rsidRPr="008D727D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985"/>
        <w:gridCol w:w="3543"/>
      </w:tblGrid>
      <w:tr w:rsidR="001908F9" w:rsidRPr="008D727D" w:rsidTr="00F32AAC">
        <w:trPr>
          <w:trHeight w:val="561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Размер вреда</w:t>
            </w:r>
          </w:p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(рублей на 100 км)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(рублей на 100 км)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1 апреля текущего года по 30 ноября текущего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1 декабря текущего года по 31 марта следующего года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92,5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5260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10 до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112,0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7710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20 до 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200,0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10960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30 до 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3125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312,5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15190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40 до 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4105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410,5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21260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50 до 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521,5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27330</w:t>
            </w:r>
          </w:p>
        </w:tc>
      </w:tr>
      <w:tr w:rsidR="001908F9" w:rsidRPr="008D727D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Свыше 60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8D727D" w:rsidRDefault="001908F9" w:rsidP="00F32AAC">
            <w:pPr>
              <w:pStyle w:val="ConsPlusCel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D72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 отдельному расчету </w:t>
            </w:r>
            <w:hyperlink w:anchor="Par118" w:history="1">
              <w:r w:rsidRPr="008D727D">
                <w:rPr>
                  <w:rFonts w:ascii="Times New Roman" w:hAnsi="Times New Roman" w:cs="Times New Roman"/>
                  <w:color w:val="1D1B11" w:themeColor="background2" w:themeShade="1A"/>
                  <w:sz w:val="24"/>
                  <w:szCs w:val="24"/>
                </w:rPr>
                <w:t>&lt;*&gt;</w:t>
              </w:r>
            </w:hyperlink>
          </w:p>
        </w:tc>
      </w:tr>
    </w:tbl>
    <w:p w:rsidR="001908F9" w:rsidRPr="008D727D" w:rsidRDefault="001908F9" w:rsidP="00190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--------------------------------</w:t>
      </w:r>
    </w:p>
    <w:p w:rsidR="001908F9" w:rsidRPr="008D727D" w:rsidRDefault="001908F9" w:rsidP="00190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" w:name="Par118"/>
      <w:bookmarkEnd w:id="2"/>
      <w:r w:rsidRPr="008D727D">
        <w:rPr>
          <w:rFonts w:ascii="Times New Roman" w:hAnsi="Times New Roman"/>
          <w:color w:val="1D1B11" w:themeColor="background2" w:themeShade="1A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4B02DC" w:rsidRPr="008D727D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B02DC" w:rsidRPr="008D727D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B02DC" w:rsidRPr="008D727D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B02DC" w:rsidRPr="008D727D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sectPr w:rsidR="004B02DC" w:rsidRPr="008D72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63"/>
    <w:rsid w:val="001908F9"/>
    <w:rsid w:val="003E077A"/>
    <w:rsid w:val="004B02DC"/>
    <w:rsid w:val="00504A68"/>
    <w:rsid w:val="00526CEE"/>
    <w:rsid w:val="00585B5F"/>
    <w:rsid w:val="005B1F52"/>
    <w:rsid w:val="006C7F2F"/>
    <w:rsid w:val="008D727D"/>
    <w:rsid w:val="009060B4"/>
    <w:rsid w:val="00966D26"/>
    <w:rsid w:val="00A22773"/>
    <w:rsid w:val="00B90502"/>
    <w:rsid w:val="00BA2D63"/>
    <w:rsid w:val="00BE0A97"/>
    <w:rsid w:val="00E77563"/>
    <w:rsid w:val="00F32AAC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929D76-E925-486E-9E94-E5D16C29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F52"/>
    <w:rPr>
      <w:rFonts w:cs="Times New Roman"/>
    </w:rPr>
  </w:style>
  <w:style w:type="paragraph" w:customStyle="1" w:styleId="BlockQuotation">
    <w:name w:val="Block Quotation"/>
    <w:basedOn w:val="a"/>
    <w:rsid w:val="006C7F2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</w:rPr>
  </w:style>
  <w:style w:type="table" w:styleId="a3">
    <w:name w:val="Table Grid"/>
    <w:basedOn w:val="a1"/>
    <w:uiPriority w:val="59"/>
    <w:rsid w:val="00906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908F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DF87B4D61B27976D2B7F33BF9261908DFDA367CA02B6A5D40A3FDB0D0BF927CA2827C9CEB43780PCK2I" TargetMode="External"/><Relationship Id="rId5" Type="http://schemas.openxmlformats.org/officeDocument/2006/relationships/hyperlink" Target="consultantplus://offline/ref=7FDF87B4D61B27976D2B7F33BF9261908DFDA367CA02B6A5D40A3FDB0D0BF927CA2827C9CEB43582PCK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14EC-E78B-47B8-8332-1E7BC287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Пользователь Windows</cp:lastModifiedBy>
  <cp:revision>2</cp:revision>
  <cp:lastPrinted>2015-12-04T10:55:00Z</cp:lastPrinted>
  <dcterms:created xsi:type="dcterms:W3CDTF">2024-08-06T12:54:00Z</dcterms:created>
  <dcterms:modified xsi:type="dcterms:W3CDTF">2024-08-06T12:54:00Z</dcterms:modified>
</cp:coreProperties>
</file>