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18" w:rsidRPr="006442D7" w:rsidRDefault="00CA4718" w:rsidP="00CA4718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CA4718" w:rsidRPr="006442D7" w:rsidRDefault="00CA4718" w:rsidP="00CA471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2D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p w:rsidR="00CA4718" w:rsidRPr="009D5217" w:rsidRDefault="00CA4718" w:rsidP="00CA47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718" w:rsidRPr="00C54912" w:rsidRDefault="00CA4718" w:rsidP="00CA47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91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CA4718" w:rsidRPr="009D5217" w:rsidRDefault="00CA4718" w:rsidP="00CA47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718" w:rsidRPr="009D5217" w:rsidRDefault="00CA4718" w:rsidP="00CA47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A4718" w:rsidRPr="009D5217" w:rsidRDefault="00CA4718" w:rsidP="00CA47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718" w:rsidRPr="009D5217" w:rsidRDefault="00CA4718" w:rsidP="00CA4718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07.10</w:t>
      </w:r>
      <w:r w:rsidRPr="009D521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.2024 г.</w:t>
      </w: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</w:t>
      </w: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</w:t>
      </w:r>
      <w:r w:rsidRPr="0069640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Pr="00C5491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32</w:t>
      </w:r>
    </w:p>
    <w:p w:rsidR="00CA4718" w:rsidRPr="009D5217" w:rsidRDefault="00CA4718" w:rsidP="00CA4718">
      <w:pPr>
        <w:widowControl w:val="0"/>
        <w:tabs>
          <w:tab w:val="left" w:pos="1560"/>
        </w:tabs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 w:rsidRPr="009D5217">
        <w:rPr>
          <w:rFonts w:ascii="Times New Roman" w:eastAsia="Times New Roman" w:hAnsi="Times New Roman" w:cs="Times New Roman"/>
          <w:kern w:val="2"/>
          <w:sz w:val="24"/>
          <w:szCs w:val="24"/>
        </w:rPr>
        <w:t>Усть-Тым</w:t>
      </w:r>
      <w:proofErr w:type="spellEnd"/>
    </w:p>
    <w:p w:rsidR="00CA4718" w:rsidRPr="009D5217" w:rsidRDefault="00CA4718" w:rsidP="00CA4718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P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718">
        <w:rPr>
          <w:rFonts w:ascii="Times New Roman" w:hAnsi="Times New Roman" w:cs="Times New Roman"/>
          <w:sz w:val="24"/>
          <w:szCs w:val="24"/>
        </w:rPr>
        <w:t xml:space="preserve">Об утверждении порядка  проведения инвентаризации с целью  </w:t>
      </w:r>
      <w:r w:rsidRPr="00CA471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выявления бесхозяйного имущества, и регистрации права собственности за </w:t>
      </w:r>
      <w:r w:rsidRPr="00CA4718">
        <w:rPr>
          <w:rFonts w:ascii="Times New Roman" w:hAnsi="Times New Roman" w:cs="Times New Roman"/>
          <w:sz w:val="24"/>
          <w:szCs w:val="24"/>
        </w:rPr>
        <w:t>муниципальным 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47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4718">
        <w:rPr>
          <w:rFonts w:ascii="Times New Roman" w:hAnsi="Times New Roman" w:cs="Times New Roman"/>
          <w:sz w:val="24"/>
          <w:szCs w:val="24"/>
        </w:rPr>
        <w:t xml:space="preserve"> </w:t>
      </w:r>
      <w:r w:rsidRPr="00CA4718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статьей 80 </w:t>
      </w:r>
      <w:hyperlink r:id="rId6" w:history="1">
        <w:r w:rsidRPr="00CA47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CA4718">
        <w:rPr>
          <w:rFonts w:ascii="Times New Roman" w:hAnsi="Times New Roman" w:cs="Times New Roman"/>
          <w:sz w:val="24"/>
          <w:szCs w:val="24"/>
        </w:rPr>
        <w:t>, в соответствии с Гражданским кодексом Российской Федерации от 30 ноября 1994 года N 52-ФЗ, приказом Минфина Российской Федерации от 13 июня 1995 года N 49 "Об утверждении методических указаний по инвентаризации имущества и финансовых обязательств", Положением о</w:t>
      </w:r>
      <w:proofErr w:type="gramEnd"/>
      <w:r w:rsidRPr="00CA4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718">
        <w:rPr>
          <w:rFonts w:ascii="Times New Roman" w:hAnsi="Times New Roman" w:cs="Times New Roman"/>
          <w:sz w:val="24"/>
          <w:szCs w:val="24"/>
        </w:rPr>
        <w:t xml:space="preserve">принятии на учет бесхозяйных недвижимых вещей учреждениями юстиции по государственной регистрации прав на недвижимое имущество и сделок с ним, утвержденным постановлением Правительства Российской Федерации от 17 сентября 2003 года N 580, Федеральным законом от 21 июля 1997 года N 122-ФЗ "О государственной регистрации прав на недвижимое имущество и сделок с ним", </w:t>
      </w:r>
      <w:hyperlink r:id="rId7" w:history="1">
        <w:r w:rsidRPr="00CA47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  муницип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ального образования «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Усть-Тымское</w:t>
        </w:r>
        <w:proofErr w:type="spellEnd"/>
        <w:r w:rsidRPr="00CA47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сельское  поселение»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Pr="00CA4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718"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Pr="00CA4718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CA4718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718" w:rsidRP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718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CA47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A47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4718">
        <w:rPr>
          <w:rFonts w:ascii="Times New Roman" w:hAnsi="Times New Roman" w:cs="Times New Roman"/>
          <w:sz w:val="24"/>
          <w:szCs w:val="24"/>
        </w:rPr>
        <w:t xml:space="preserve">Утвердить  порядок  проведения инвентаризации с целью  </w:t>
      </w:r>
      <w:r w:rsidRPr="00CA471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выявления бесхозяйного имущества, и регистрации права собственности за </w:t>
      </w:r>
      <w:r w:rsidRPr="00CA4718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ным  образованием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CA471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437954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A4718" w:rsidRDefault="00CA4718" w:rsidP="00CA47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</w:t>
      </w:r>
      <w:r w:rsidR="00437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официального обнародования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7954" w:rsidRPr="00437954" w:rsidRDefault="007170F9" w:rsidP="004379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proofErr w:type="gramStart"/>
      <w:r w:rsidR="00437954" w:rsidRPr="004379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7954" w:rsidRPr="004379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7954" w:rsidRDefault="00437954" w:rsidP="00CA47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Pr="00732974" w:rsidRDefault="00CA4718" w:rsidP="00CA4718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4379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718" w:rsidRDefault="00CA4718" w:rsidP="00CA47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Пиличенко</w:t>
      </w:r>
      <w:proofErr w:type="spellEnd"/>
    </w:p>
    <w:p w:rsidR="00CA4718" w:rsidRDefault="00CA4718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Default="00437954" w:rsidP="00CA471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954" w:rsidRPr="00437954" w:rsidRDefault="00437954" w:rsidP="004379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379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37954" w:rsidRPr="00437954" w:rsidRDefault="00437954" w:rsidP="004379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795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37954" w:rsidRPr="00437954" w:rsidRDefault="00437954" w:rsidP="00437954">
      <w:pPr>
        <w:pStyle w:val="ConsPlusNormal"/>
        <w:widowControl/>
        <w:tabs>
          <w:tab w:val="left" w:pos="630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9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37954" w:rsidRPr="00437954" w:rsidRDefault="00437954" w:rsidP="0043795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795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07.10.2024</w:t>
      </w:r>
      <w:r w:rsidRPr="0043795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437954" w:rsidRPr="00437954" w:rsidRDefault="00437954" w:rsidP="00437954">
      <w:pPr>
        <w:pStyle w:val="a6"/>
        <w:shd w:val="clear" w:color="auto" w:fill="FFFFFF"/>
        <w:spacing w:before="0" w:beforeAutospacing="0" w:after="96" w:afterAutospacing="0" w:line="240" w:lineRule="atLeast"/>
        <w:jc w:val="center"/>
        <w:rPr>
          <w:b/>
        </w:rPr>
      </w:pPr>
    </w:p>
    <w:p w:rsidR="00437954" w:rsidRPr="00437954" w:rsidRDefault="00437954" w:rsidP="00437954">
      <w:pPr>
        <w:pStyle w:val="a6"/>
        <w:shd w:val="clear" w:color="auto" w:fill="FFFFFF"/>
        <w:spacing w:before="0" w:beforeAutospacing="0" w:after="96" w:afterAutospacing="0" w:line="240" w:lineRule="atLeast"/>
        <w:jc w:val="center"/>
        <w:rPr>
          <w:b/>
        </w:rPr>
      </w:pPr>
      <w:r w:rsidRPr="00437954">
        <w:rPr>
          <w:b/>
        </w:rPr>
        <w:t>Порядок</w:t>
      </w:r>
    </w:p>
    <w:p w:rsidR="00437954" w:rsidRDefault="00437954" w:rsidP="00437954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437954">
        <w:rPr>
          <w:b/>
        </w:rPr>
        <w:t xml:space="preserve">проведения инвентаризации с целью  </w:t>
      </w:r>
      <w:r w:rsidRPr="00437954">
        <w:rPr>
          <w:b/>
          <w:kern w:val="36"/>
        </w:rPr>
        <w:t xml:space="preserve">выявления бесхозяйного имущества, и регистрации права собственности за </w:t>
      </w:r>
      <w:r w:rsidRPr="00437954">
        <w:rPr>
          <w:b/>
        </w:rPr>
        <w:t xml:space="preserve">муниципальным  образованием  </w:t>
      </w:r>
    </w:p>
    <w:p w:rsidR="00437954" w:rsidRPr="00437954" w:rsidRDefault="00437954" w:rsidP="00437954">
      <w:pPr>
        <w:pStyle w:val="a6"/>
        <w:shd w:val="clear" w:color="auto" w:fill="FFFFFF"/>
        <w:spacing w:before="0" w:beforeAutospacing="0" w:after="96" w:afterAutospacing="0" w:line="240" w:lineRule="atLeast"/>
        <w:jc w:val="center"/>
        <w:rPr>
          <w:rFonts w:eastAsiaTheme="minorEastAsia"/>
          <w:b/>
        </w:rPr>
      </w:pPr>
      <w:r w:rsidRPr="00437954">
        <w:rPr>
          <w:b/>
        </w:rPr>
        <w:t>«</w:t>
      </w:r>
      <w:proofErr w:type="spellStart"/>
      <w:r w:rsidRPr="00437954">
        <w:rPr>
          <w:b/>
        </w:rPr>
        <w:t>Усть-Тымское</w:t>
      </w:r>
      <w:proofErr w:type="spellEnd"/>
      <w:r w:rsidRPr="00437954">
        <w:rPr>
          <w:b/>
        </w:rPr>
        <w:t xml:space="preserve"> сельское поселение»</w:t>
      </w:r>
    </w:p>
    <w:p w:rsidR="00437954" w:rsidRPr="00437954" w:rsidRDefault="00437954" w:rsidP="00437954">
      <w:pPr>
        <w:pStyle w:val="a6"/>
        <w:shd w:val="clear" w:color="auto" w:fill="FFFFFF"/>
        <w:spacing w:before="0" w:beforeAutospacing="0" w:after="96" w:afterAutospacing="0" w:line="240" w:lineRule="atLeast"/>
        <w:jc w:val="both"/>
        <w:rPr>
          <w:rFonts w:eastAsiaTheme="minorEastAsia"/>
        </w:rPr>
      </w:pPr>
    </w:p>
    <w:p w:rsidR="00437954" w:rsidRPr="00437954" w:rsidRDefault="00437954" w:rsidP="00437954">
      <w:pPr>
        <w:pStyle w:val="a6"/>
        <w:shd w:val="clear" w:color="auto" w:fill="FFFFFF"/>
        <w:spacing w:before="0" w:beforeAutospacing="0" w:after="96" w:afterAutospacing="0" w:line="240" w:lineRule="atLeast"/>
        <w:jc w:val="center"/>
        <w:rPr>
          <w:b/>
        </w:rPr>
      </w:pPr>
      <w:r w:rsidRPr="00437954">
        <w:rPr>
          <w:b/>
        </w:rPr>
        <w:t>Общие положения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</w:t>
      </w:r>
      <w:r w:rsidRPr="0043795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статьей 80 </w:t>
      </w:r>
      <w:hyperlink r:id="rId8" w:history="1">
        <w:r w:rsidRPr="004379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Бюджетного кодекса Российской Федерации</w:t>
        </w:r>
      </w:hyperlink>
      <w:r w:rsidRPr="00437954">
        <w:rPr>
          <w:rFonts w:ascii="Times New Roman" w:hAnsi="Times New Roman" w:cs="Times New Roman"/>
          <w:sz w:val="24"/>
          <w:szCs w:val="24"/>
        </w:rPr>
        <w:t>, в соответствии с Гражданским кодексом Российской Федерации от 30 ноября 1994 года N 52-ФЗ, приказом Минфина Российской Федерации от 13 июня 1995 года N 49 "Об утверждении методических указаний по инвентаризации имущества и финансовых</w:t>
      </w:r>
      <w:proofErr w:type="gramEnd"/>
      <w:r w:rsidRPr="00437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954">
        <w:rPr>
          <w:rFonts w:ascii="Times New Roman" w:hAnsi="Times New Roman" w:cs="Times New Roman"/>
          <w:sz w:val="24"/>
          <w:szCs w:val="24"/>
        </w:rPr>
        <w:t>обязательств", Положением о принятии на учет бесхозяйных недвижимых вещей учреждениями юстиции по государственной регистрации прав на недвижимое имущество и сделок с ним, утвержденным постановлением Правительства Российской Федерации от 17 сентября 2003 года N 580, Федеральным законом от 21 июля 1997 года N 122-ФЗ "О государственной регистрации прав на недвижимое имущество и сделок с ним", Уставом 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437954">
        <w:rPr>
          <w:rFonts w:ascii="Times New Roman" w:hAnsi="Times New Roman" w:cs="Times New Roman"/>
          <w:sz w:val="24"/>
          <w:szCs w:val="24"/>
        </w:rPr>
        <w:t xml:space="preserve">  сельское  поселение» </w:t>
      </w:r>
      <w:proofErr w:type="gramEnd"/>
    </w:p>
    <w:p w:rsidR="00437954" w:rsidRPr="00437954" w:rsidRDefault="00437954" w:rsidP="000C00C3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37954">
        <w:rPr>
          <w:rFonts w:ascii="Times New Roman" w:eastAsia="Times New Roman" w:hAnsi="Times New Roman" w:cs="Times New Roman"/>
          <w:sz w:val="24"/>
          <w:szCs w:val="24"/>
        </w:rPr>
        <w:t>Настоящий Порядок регулирует вопросы порядка проведения инвентаризации муниципального имущества, выявления бесхозяйного недвижимого имущества на территории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(далее именуемых "бесхозяйные вещи"), регистрации права собственности муниципального образования на имущество, которое находится в границах муницип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0C00C3">
        <w:rPr>
          <w:rFonts w:ascii="Times New Roman" w:eastAsia="Times New Roman" w:hAnsi="Times New Roman" w:cs="Times New Roman"/>
          <w:sz w:val="24"/>
          <w:szCs w:val="24"/>
        </w:rPr>
        <w:t>Усть-Тымское</w:t>
      </w:r>
      <w:proofErr w:type="spellEnd"/>
      <w:r w:rsidR="000C00C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437954" w:rsidRPr="000C00C3" w:rsidRDefault="00437954" w:rsidP="00437954">
      <w:pPr>
        <w:spacing w:line="319" w:lineRule="atLeast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0C3">
        <w:rPr>
          <w:rFonts w:ascii="Times New Roman" w:eastAsia="Times New Roman" w:hAnsi="Times New Roman" w:cs="Times New Roman"/>
          <w:sz w:val="24"/>
          <w:szCs w:val="24"/>
        </w:rPr>
        <w:t xml:space="preserve"> Проведение  инвентаризации имущества.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>3.1. Основными целями инвентаризации являются: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выявление фактического наличия имущества;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постановка на учет выявленного неучтенного имущества;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сопоставление фактического наличия имущества с данными бухгалтерского учета;</w:t>
      </w:r>
    </w:p>
    <w:p w:rsidR="00437954" w:rsidRPr="00437954" w:rsidRDefault="00437954" w:rsidP="000C00C3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проверка полноты отражения в учете обязательств.</w:t>
      </w:r>
    </w:p>
    <w:p w:rsidR="00437954" w:rsidRPr="000C00C3" w:rsidRDefault="000C00C3" w:rsidP="000C00C3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t xml:space="preserve">               </w:t>
      </w:r>
      <w:r w:rsidR="00437954" w:rsidRPr="000C00C3">
        <w:t>3.2.  Для проведения инвентаризации создается</w:t>
      </w:r>
      <w:r w:rsidRPr="000C00C3">
        <w:t xml:space="preserve"> </w:t>
      </w:r>
      <w:r>
        <w:rPr>
          <w:color w:val="212121"/>
        </w:rPr>
        <w:t xml:space="preserve">административная комиссия по выявлению, </w:t>
      </w:r>
      <w:r w:rsidRPr="000C00C3">
        <w:rPr>
          <w:color w:val="212121"/>
        </w:rPr>
        <w:t>инвентаризации и обследованию </w:t>
      </w:r>
      <w:r w:rsidRPr="000C00C3">
        <w:rPr>
          <w:color w:val="212121"/>
        </w:rPr>
        <w:br/>
        <w:t xml:space="preserve">бесхозяйного </w:t>
      </w:r>
      <w:bookmarkStart w:id="1" w:name="_Hlk179457120"/>
      <w:r w:rsidRPr="000C00C3">
        <w:rPr>
          <w:color w:val="212121"/>
        </w:rPr>
        <w:t xml:space="preserve">движимого, недвижимого и выморочного имущества на территории </w:t>
      </w:r>
      <w:proofErr w:type="spellStart"/>
      <w:r w:rsidRPr="000C00C3">
        <w:t>Усть-Тымского</w:t>
      </w:r>
      <w:proofErr w:type="spellEnd"/>
      <w:r w:rsidRPr="000C00C3">
        <w:rPr>
          <w:color w:val="212121"/>
        </w:rPr>
        <w:t xml:space="preserve"> сельского поселения </w:t>
      </w:r>
      <w:proofErr w:type="spellStart"/>
      <w:r w:rsidRPr="000C00C3">
        <w:rPr>
          <w:color w:val="212121"/>
        </w:rPr>
        <w:t>Каргасокского</w:t>
      </w:r>
      <w:proofErr w:type="spellEnd"/>
      <w:r w:rsidRPr="000C00C3">
        <w:rPr>
          <w:color w:val="212121"/>
        </w:rPr>
        <w:t xml:space="preserve"> района</w:t>
      </w:r>
      <w:bookmarkEnd w:id="1"/>
      <w:r>
        <w:rPr>
          <w:color w:val="212121"/>
        </w:rPr>
        <w:t xml:space="preserve"> (далее - Комиссия)</w:t>
      </w:r>
      <w:r w:rsidR="00437954" w:rsidRPr="000C00C3">
        <w:t>.</w:t>
      </w:r>
    </w:p>
    <w:p w:rsidR="00437954" w:rsidRPr="00437954" w:rsidRDefault="00437954" w:rsidP="00437954">
      <w:pPr>
        <w:spacing w:line="319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комиссии,  и ее сост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>ав осуществл</w:t>
      </w:r>
      <w:r w:rsidR="007170F9">
        <w:rPr>
          <w:rFonts w:ascii="Times New Roman" w:eastAsia="Times New Roman" w:hAnsi="Times New Roman" w:cs="Times New Roman"/>
          <w:sz w:val="24"/>
          <w:szCs w:val="24"/>
        </w:rPr>
        <w:t xml:space="preserve">яется на основании распоряжения администрации </w:t>
      </w:r>
      <w:proofErr w:type="spellStart"/>
      <w:r w:rsidR="000C00C3">
        <w:rPr>
          <w:rFonts w:ascii="Times New Roman" w:eastAsia="Times New Roman" w:hAnsi="Times New Roman" w:cs="Times New Roman"/>
          <w:sz w:val="24"/>
          <w:szCs w:val="24"/>
        </w:rPr>
        <w:t>Усть-Тым</w:t>
      </w:r>
      <w:r w:rsidR="007170F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7170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954" w:rsidRPr="00437954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437954" w:rsidRPr="000C00C3"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="00437954"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7954" w:rsidRPr="00437954">
        <w:rPr>
          <w:rFonts w:ascii="Times New Roman" w:eastAsia="Times New Roman" w:hAnsi="Times New Roman" w:cs="Times New Roman"/>
          <w:sz w:val="24"/>
          <w:szCs w:val="24"/>
        </w:rPr>
        <w:t>Сведения о фактическом наличии имущества записываются в инвентаризационные описи или акты инвентаризации не менее чем в двух экземплярах.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3.5.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Наименование инвентаризуемого имущества, количество указывается в описях по номенклатуре и в единицах измерения, принятых в учете.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>На последней странице описи должна быть сделана отметка о подсчете итогов за подписями лиц, производивших эту проверку.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>Описи подписыв</w:t>
      </w:r>
      <w:r w:rsidR="000C00C3">
        <w:rPr>
          <w:rFonts w:ascii="Times New Roman" w:eastAsia="Times New Roman" w:hAnsi="Times New Roman" w:cs="Times New Roman"/>
          <w:sz w:val="24"/>
          <w:szCs w:val="24"/>
        </w:rPr>
        <w:t>ают все члены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фактического наличия имущества в случае смены материально ответственных лиц, </w:t>
      </w:r>
      <w:proofErr w:type="gramStart"/>
      <w:r w:rsidRPr="00437954">
        <w:rPr>
          <w:rFonts w:ascii="Times New Roman" w:eastAsia="Times New Roman" w:hAnsi="Times New Roman" w:cs="Times New Roman"/>
          <w:sz w:val="24"/>
          <w:szCs w:val="24"/>
        </w:rPr>
        <w:t>принявший</w:t>
      </w:r>
      <w:proofErr w:type="gramEnd"/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имущество, расписывается в описи в получении, а сдавший - в сдаче этого имущества.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Для оформления инвентаризации необходимо применять формы первичной учетной документации по инвентаризации имущества, утвержденные приказом Минфина Российской Федерации от 13 июня 1995 года N 49 "Об утверждении методических указаний по инвентаризации имущества и финансовых обязательств" либо формы, разработанные министерствами, ведомствами.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954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проверок правильности проведения инвентаризаций оформляются актом, форма которого утверждена приказом Минфина Российской Федерации от 13 июня 1995 года N 49 "Об утверждении методических указаний по инвентаризации имущества и финансовых обязательств" и регистрируются в книге учета контрольных проверок правильности проведения.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3.8.</w:t>
      </w:r>
      <w:r w:rsidR="000C00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До начала инвентаризации имущества рекомендуется проверить: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наличие и состояние инвентарных карточек, инвентарных книг, описей и других регистров аналитического учета;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наличие и состояние технических паспортов или другой технической документации;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наличие документов на имущество, сданное, принятое организацией в пользование (аренду и др.). При отсутствии документов необходимо обеспечить их получение или оформление и т.д.</w:t>
      </w:r>
    </w:p>
    <w:p w:rsidR="00437954" w:rsidRPr="00437954" w:rsidRDefault="00437954" w:rsidP="000C00C3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4379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наличие правоустанавливающих и </w:t>
      </w:r>
      <w:proofErr w:type="spellStart"/>
      <w:r w:rsidRPr="00437954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в случае их отсутствия - документов, подтверждающих право пользования имуществом как своим собственным. При отсутствии документов необходимо обеспечить их получение или оформление и т.д.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3.9.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 </w:t>
      </w:r>
      <w:proofErr w:type="gramStart"/>
      <w:r w:rsidRPr="00437954">
        <w:rPr>
          <w:rFonts w:ascii="Times New Roman" w:eastAsia="Times New Roman" w:hAnsi="Times New Roman" w:cs="Times New Roman"/>
          <w:sz w:val="24"/>
          <w:szCs w:val="24"/>
        </w:rPr>
        <w:t>Например, необходимо указать их назначение, основные материалы, из которых они построены, объем (по наружному или внутреннему обмеру), площадь (общая полезная площадь), число этажей (без подвалов, полуподвалов и т.д.), год постройки и др.</w:t>
      </w:r>
      <w:proofErr w:type="gramEnd"/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3.10.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Оценка выявленных инвентаризацией неучтенных объектов должна быть произведена с учетом рыночных цен, а износ определен по действительному техническому состоянию объектов с оформлением сведений об оценке и износе соответствующими актами.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3.11.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3.12.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необходимо по соответствующим документам определить сумму увеличения или снижения балансовой стоимости объекта и привести в </w:t>
      </w:r>
      <w:proofErr w:type="gramStart"/>
      <w:r w:rsidRPr="00437954">
        <w:rPr>
          <w:rFonts w:ascii="Times New Roman" w:eastAsia="Times New Roman" w:hAnsi="Times New Roman" w:cs="Times New Roman"/>
          <w:sz w:val="24"/>
          <w:szCs w:val="24"/>
        </w:rPr>
        <w:t>описи</w:t>
      </w:r>
      <w:proofErr w:type="gramEnd"/>
      <w:r w:rsidRPr="00437954">
        <w:rPr>
          <w:rFonts w:ascii="Times New Roman" w:eastAsia="Times New Roman" w:hAnsi="Times New Roman" w:cs="Times New Roman"/>
          <w:sz w:val="24"/>
          <w:szCs w:val="24"/>
        </w:rPr>
        <w:t xml:space="preserve"> данные о произведенных изменениях.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3.13.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На имущество, непригодное к эксплуатации и не подлежащее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непригодности.</w:t>
      </w:r>
    </w:p>
    <w:p w:rsidR="00437954" w:rsidRP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3.14.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Одновременно с инвентаризацией собственного имущества проверяется имущество, переданное в пользование (аренду и др.).</w:t>
      </w:r>
    </w:p>
    <w:p w:rsidR="00437954" w:rsidRDefault="00437954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bCs/>
          <w:sz w:val="24"/>
          <w:szCs w:val="24"/>
        </w:rPr>
        <w:t>3.15.</w:t>
      </w:r>
      <w:r w:rsidR="000C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954">
        <w:rPr>
          <w:rFonts w:ascii="Times New Roman" w:eastAsia="Times New Roman" w:hAnsi="Times New Roman" w:cs="Times New Roman"/>
          <w:sz w:val="24"/>
          <w:szCs w:val="24"/>
        </w:rPr>
        <w:t>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Федерации.</w:t>
      </w: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Default="000C00C3" w:rsidP="00437954">
      <w:pPr>
        <w:spacing w:line="319" w:lineRule="atLeast"/>
        <w:ind w:left="-36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00C3" w:rsidRPr="000C00C3" w:rsidRDefault="000C00C3" w:rsidP="000C00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00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Порядку утвержденному </w:t>
      </w:r>
    </w:p>
    <w:p w:rsidR="000C00C3" w:rsidRPr="000C00C3" w:rsidRDefault="000C00C3" w:rsidP="000C00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00C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00C3" w:rsidRPr="000C00C3" w:rsidRDefault="000C00C3" w:rsidP="000C00C3">
      <w:pPr>
        <w:pStyle w:val="ConsPlusNormal"/>
        <w:widowControl/>
        <w:tabs>
          <w:tab w:val="left" w:pos="630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00C3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C00C3">
        <w:rPr>
          <w:rFonts w:ascii="Times New Roman" w:hAnsi="Times New Roman" w:cs="Times New Roman"/>
          <w:sz w:val="24"/>
          <w:szCs w:val="24"/>
        </w:rPr>
        <w:t xml:space="preserve"> </w:t>
      </w:r>
      <w:r w:rsidRPr="000C00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C00C3" w:rsidRPr="000C00C3" w:rsidRDefault="000C00C3" w:rsidP="000C00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00C3">
        <w:rPr>
          <w:rFonts w:ascii="Times New Roman" w:hAnsi="Times New Roman" w:cs="Times New Roman"/>
          <w:sz w:val="24"/>
          <w:szCs w:val="24"/>
        </w:rPr>
        <w:t xml:space="preserve">от </w:t>
      </w:r>
      <w:r w:rsidRPr="000C00C3">
        <w:rPr>
          <w:rFonts w:ascii="Times New Roman" w:hAnsi="Times New Roman" w:cs="Times New Roman"/>
          <w:color w:val="000000"/>
          <w:sz w:val="24"/>
          <w:szCs w:val="24"/>
        </w:rPr>
        <w:t>07.10.2024</w:t>
      </w:r>
      <w:r w:rsidRPr="000C00C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0C00C3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0C00C3" w:rsidRPr="000C00C3" w:rsidRDefault="000C00C3" w:rsidP="000C00C3">
      <w:pPr>
        <w:pStyle w:val="a6"/>
        <w:shd w:val="clear" w:color="auto" w:fill="FFFFFF"/>
        <w:spacing w:before="0" w:beforeAutospacing="0" w:after="96" w:afterAutospacing="0" w:line="240" w:lineRule="atLeast"/>
        <w:rPr>
          <w:b/>
        </w:rPr>
      </w:pPr>
    </w:p>
    <w:p w:rsidR="000C00C3" w:rsidRPr="000C00C3" w:rsidRDefault="000C00C3" w:rsidP="000C00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0C00C3" w:rsidRPr="000C00C3" w:rsidRDefault="000C00C3" w:rsidP="000C00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0C00C3" w:rsidRPr="000C00C3" w:rsidRDefault="000C00C3" w:rsidP="000C00C3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0C3">
        <w:rPr>
          <w:rFonts w:ascii="Times New Roman" w:eastAsia="Times New Roman" w:hAnsi="Times New Roman" w:cs="Times New Roman"/>
          <w:sz w:val="24"/>
          <w:szCs w:val="24"/>
        </w:rPr>
        <w:t xml:space="preserve">Опись бесхозяйного имущества </w:t>
      </w:r>
    </w:p>
    <w:p w:rsidR="000C00C3" w:rsidRPr="000C00C3" w:rsidRDefault="000C00C3" w:rsidP="000C00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p w:rsidR="000C00C3" w:rsidRPr="000C00C3" w:rsidRDefault="000C00C3" w:rsidP="000C00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933"/>
        <w:gridCol w:w="1379"/>
        <w:gridCol w:w="1715"/>
        <w:gridCol w:w="1617"/>
        <w:gridCol w:w="1144"/>
        <w:gridCol w:w="1676"/>
      </w:tblGrid>
      <w:tr w:rsidR="000C00C3" w:rsidRPr="000C00C3" w:rsidTr="00F945FB">
        <w:trPr>
          <w:trHeight w:val="915"/>
        </w:trPr>
        <w:tc>
          <w:tcPr>
            <w:tcW w:w="1361" w:type="dxa"/>
            <w:vMerge w:val="restart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и населенного пункта </w:t>
            </w:r>
          </w:p>
        </w:tc>
        <w:tc>
          <w:tcPr>
            <w:tcW w:w="1793" w:type="dxa"/>
            <w:vMerge w:val="restart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объектов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место нахождения, адрес, площадь) </w:t>
            </w:r>
          </w:p>
        </w:tc>
        <w:tc>
          <w:tcPr>
            <w:tcW w:w="1150" w:type="dxa"/>
            <w:vMerge w:val="restart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денежных средств, необходимых для регистрации объектов, тыс. руб.</w:t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бесхозных объектов из них</w:t>
            </w:r>
          </w:p>
        </w:tc>
      </w:tr>
      <w:tr w:rsidR="000C00C3" w:rsidRPr="000C00C3" w:rsidTr="00F945FB">
        <w:trPr>
          <w:trHeight w:val="563"/>
        </w:trPr>
        <w:tc>
          <w:tcPr>
            <w:tcW w:w="1361" w:type="dxa"/>
            <w:vMerge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ЖКХ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жилого фонда</w:t>
            </w:r>
          </w:p>
        </w:tc>
      </w:tr>
      <w:tr w:rsidR="000C00C3" w:rsidRPr="000C00C3" w:rsidTr="00F945FB">
        <w:tc>
          <w:tcPr>
            <w:tcW w:w="1361" w:type="dxa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0C3" w:rsidRPr="000C00C3" w:rsidTr="00F945FB">
        <w:tc>
          <w:tcPr>
            <w:tcW w:w="1361" w:type="dxa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0C3" w:rsidRPr="000C00C3" w:rsidTr="00F945FB">
        <w:tc>
          <w:tcPr>
            <w:tcW w:w="1361" w:type="dxa"/>
          </w:tcPr>
          <w:p w:rsidR="000C00C3" w:rsidRPr="000C00C3" w:rsidRDefault="000C00C3" w:rsidP="00F945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0C00C3" w:rsidRPr="000C00C3" w:rsidRDefault="000C00C3" w:rsidP="00F9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0C00C3" w:rsidRPr="000C00C3" w:rsidRDefault="000C00C3" w:rsidP="00F9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2"/>
          </w:tcPr>
          <w:p w:rsidR="000C00C3" w:rsidRPr="000C00C3" w:rsidRDefault="000C00C3" w:rsidP="00F94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0C3" w:rsidRPr="000C00C3" w:rsidRDefault="000C00C3" w:rsidP="000C00C3">
      <w:pPr>
        <w:rPr>
          <w:rFonts w:ascii="Times New Roman" w:hAnsi="Times New Roman" w:cs="Times New Roman"/>
          <w:sz w:val="24"/>
          <w:szCs w:val="24"/>
        </w:rPr>
      </w:pPr>
    </w:p>
    <w:p w:rsidR="000C00C3" w:rsidRPr="000C00C3" w:rsidRDefault="000C00C3" w:rsidP="000C0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0C3"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Председатель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 xml:space="preserve">                       __________________      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 </w:t>
      </w:r>
      <w:r w:rsidRPr="007170F9">
        <w:rPr>
          <w:spacing w:val="2"/>
        </w:rPr>
        <w:t> (подпись)           (расшифровка подписи)</w:t>
      </w: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>Секретарь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  </w:t>
      </w:r>
      <w:r w:rsidRPr="007170F9">
        <w:rPr>
          <w:spacing w:val="2"/>
        </w:rPr>
        <w:t>__________________      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(подпись)           (расшифровка подписи)</w:t>
      </w: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Члены комиссии      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 xml:space="preserve">                    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  (подпись) 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 (подпись) 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 xml:space="preserve"> (подпись) </w:t>
      </w:r>
      <w:r>
        <w:rPr>
          <w:spacing w:val="2"/>
        </w:rPr>
        <w:t>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  </w:t>
      </w:r>
      <w:r w:rsidRPr="007170F9">
        <w:rPr>
          <w:spacing w:val="2"/>
        </w:rPr>
        <w:t>__________________      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                </w:t>
      </w:r>
      <w:r w:rsidRPr="007170F9">
        <w:rPr>
          <w:spacing w:val="2"/>
        </w:rPr>
        <w:t>(подпись)           (расшифровка подписи)</w:t>
      </w:r>
    </w:p>
    <w:p w:rsidR="000C00C3" w:rsidRPr="00EE5A22" w:rsidRDefault="000C00C3" w:rsidP="000C00C3">
      <w:pPr>
        <w:rPr>
          <w:rFonts w:ascii="Times New Roman" w:hAnsi="Times New Roman" w:cs="Times New Roman"/>
          <w:sz w:val="26"/>
          <w:szCs w:val="26"/>
        </w:rPr>
      </w:pPr>
    </w:p>
    <w:p w:rsidR="000C00C3" w:rsidRDefault="000C00C3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7170F9" w:rsidRPr="00EE5A22" w:rsidRDefault="007170F9" w:rsidP="000C00C3">
      <w:pPr>
        <w:pStyle w:val="ConsPlusNormal"/>
        <w:widowControl/>
        <w:ind w:firstLine="0"/>
        <w:jc w:val="center"/>
        <w:rPr>
          <w:color w:val="2D2D2D"/>
          <w:spacing w:val="2"/>
          <w:sz w:val="26"/>
          <w:szCs w:val="26"/>
        </w:rPr>
      </w:pPr>
    </w:p>
    <w:p w:rsidR="000C00C3" w:rsidRDefault="000C00C3" w:rsidP="000C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00C3" w:rsidRPr="007170F9" w:rsidRDefault="000C00C3" w:rsidP="000C00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70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Порядку утвержденному </w:t>
      </w:r>
    </w:p>
    <w:p w:rsidR="000C00C3" w:rsidRPr="007170F9" w:rsidRDefault="000C00C3" w:rsidP="000C00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170F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00C3" w:rsidRPr="007170F9" w:rsidRDefault="007170F9" w:rsidP="000C00C3">
      <w:pPr>
        <w:pStyle w:val="ConsPlusNormal"/>
        <w:widowControl/>
        <w:tabs>
          <w:tab w:val="left" w:pos="630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0C3" w:rsidRPr="007170F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C00C3" w:rsidRPr="007170F9" w:rsidRDefault="000C00C3" w:rsidP="000C00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170F9">
        <w:rPr>
          <w:rFonts w:ascii="Times New Roman" w:hAnsi="Times New Roman" w:cs="Times New Roman"/>
          <w:sz w:val="24"/>
          <w:szCs w:val="24"/>
        </w:rPr>
        <w:t xml:space="preserve">от </w:t>
      </w:r>
      <w:r w:rsidR="007170F9">
        <w:rPr>
          <w:rFonts w:ascii="Times New Roman" w:hAnsi="Times New Roman" w:cs="Times New Roman"/>
          <w:sz w:val="24"/>
          <w:szCs w:val="24"/>
        </w:rPr>
        <w:t>07.10.2024 №32</w:t>
      </w:r>
      <w:r w:rsidRPr="00717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C3" w:rsidRPr="007170F9" w:rsidRDefault="000C00C3" w:rsidP="000C00C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br/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 w:rsidRPr="007170F9">
        <w:rPr>
          <w:spacing w:val="2"/>
        </w:rPr>
        <w:t>АКТ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 w:rsidRPr="007170F9">
        <w:rPr>
          <w:spacing w:val="2"/>
        </w:rPr>
        <w:t>ИНВЕНТАРИЗАЦИИ  ИМУЩЕСТВА</w:t>
      </w:r>
    </w:p>
    <w:p w:rsidR="007170F9" w:rsidRDefault="000C00C3" w:rsidP="007170F9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 w:rsidRPr="007170F9">
        <w:rPr>
          <w:spacing w:val="2"/>
        </w:rPr>
        <w:t>МУНИЦИПА</w:t>
      </w:r>
      <w:r w:rsidR="007170F9">
        <w:rPr>
          <w:spacing w:val="2"/>
        </w:rPr>
        <w:t xml:space="preserve">ЛЬНОГО ОБРАЗОВАНИЯ </w:t>
      </w:r>
    </w:p>
    <w:p w:rsidR="000C00C3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</w:rPr>
      </w:pPr>
      <w:r>
        <w:rPr>
          <w:spacing w:val="2"/>
        </w:rPr>
        <w:t>«УСТЬ-ТЫМСКОЕ</w:t>
      </w:r>
      <w:r w:rsidR="000C00C3" w:rsidRPr="007170F9">
        <w:rPr>
          <w:spacing w:val="2"/>
        </w:rPr>
        <w:t xml:space="preserve"> СЕЛЬСКОЕ ПОСЕЛЕНИЕ</w:t>
      </w:r>
      <w:r>
        <w:rPr>
          <w:spacing w:val="2"/>
        </w:rPr>
        <w:t>»</w:t>
      </w:r>
      <w:r w:rsidR="000C00C3" w:rsidRPr="007170F9">
        <w:rPr>
          <w:spacing w:val="2"/>
        </w:rPr>
        <w:t xml:space="preserve"> </w:t>
      </w:r>
    </w:p>
    <w:p w:rsidR="000C00C3" w:rsidRPr="007170F9" w:rsidRDefault="000C00C3" w:rsidP="007170F9">
      <w:pPr>
        <w:pStyle w:val="a6"/>
        <w:shd w:val="clear" w:color="auto" w:fill="FFFFFF"/>
        <w:spacing w:before="0" w:beforeAutospacing="0" w:after="0" w:afterAutospacing="0"/>
        <w:jc w:val="both"/>
      </w:pPr>
      <w:r w:rsidRPr="007170F9">
        <w:rPr>
          <w:spacing w:val="2"/>
        </w:rPr>
        <w:br/>
      </w:r>
      <w:r w:rsidR="007170F9">
        <w:rPr>
          <w:spacing w:val="2"/>
        </w:rPr>
        <w:t xml:space="preserve">         </w:t>
      </w:r>
      <w:proofErr w:type="gramStart"/>
      <w:r w:rsidRPr="007170F9">
        <w:rPr>
          <w:spacing w:val="2"/>
        </w:rPr>
        <w:t>Настоящий   акт  составлен  </w:t>
      </w:r>
      <w:r w:rsidR="007170F9" w:rsidRPr="007170F9">
        <w:rPr>
          <w:spacing w:val="2"/>
        </w:rPr>
        <w:t>в  том,  что  </w:t>
      </w:r>
      <w:r w:rsidR="007170F9" w:rsidRPr="007170F9">
        <w:t xml:space="preserve">административной комиссией по выявлению, инвентаризации и </w:t>
      </w:r>
      <w:r w:rsidR="007170F9">
        <w:t>обследованию </w:t>
      </w:r>
      <w:r w:rsidR="007170F9" w:rsidRPr="007170F9">
        <w:t xml:space="preserve">бесхозяйного движимого, недвижимого и выморочного имущества на территории </w:t>
      </w:r>
      <w:proofErr w:type="spellStart"/>
      <w:r w:rsidR="007170F9" w:rsidRPr="007170F9">
        <w:t>Усть-Тымского</w:t>
      </w:r>
      <w:proofErr w:type="spellEnd"/>
      <w:r w:rsidR="007170F9" w:rsidRPr="007170F9">
        <w:t xml:space="preserve"> сельского поселения </w:t>
      </w:r>
      <w:proofErr w:type="spellStart"/>
      <w:r w:rsidR="007170F9" w:rsidRPr="007170F9">
        <w:t>Каргасокского</w:t>
      </w:r>
      <w:proofErr w:type="spellEnd"/>
      <w:r w:rsidR="007170F9" w:rsidRPr="007170F9">
        <w:t xml:space="preserve"> района</w:t>
      </w:r>
      <w:r w:rsidRPr="007170F9">
        <w:rPr>
          <w:spacing w:val="2"/>
        </w:rPr>
        <w:t>,  созданной  в  соответствии</w:t>
      </w:r>
      <w:r w:rsidR="007170F9" w:rsidRPr="007170F9">
        <w:rPr>
          <w:spacing w:val="2"/>
        </w:rPr>
        <w:t xml:space="preserve"> с распоряжением</w:t>
      </w:r>
      <w:r w:rsidRPr="007170F9">
        <w:rPr>
          <w:spacing w:val="2"/>
        </w:rPr>
        <w:t xml:space="preserve"> админ</w:t>
      </w:r>
      <w:r w:rsidR="007170F9" w:rsidRPr="007170F9">
        <w:rPr>
          <w:spacing w:val="2"/>
        </w:rPr>
        <w:t xml:space="preserve">истрации </w:t>
      </w:r>
      <w:proofErr w:type="spellStart"/>
      <w:r w:rsidR="007170F9" w:rsidRPr="007170F9">
        <w:rPr>
          <w:spacing w:val="2"/>
        </w:rPr>
        <w:t>Усть-Тымского</w:t>
      </w:r>
      <w:proofErr w:type="spellEnd"/>
      <w:r w:rsidR="007170F9" w:rsidRPr="007170F9">
        <w:rPr>
          <w:spacing w:val="2"/>
        </w:rPr>
        <w:t xml:space="preserve"> сельского поселения </w:t>
      </w:r>
      <w:r w:rsidR="007170F9">
        <w:rPr>
          <w:spacing w:val="2"/>
        </w:rPr>
        <w:t xml:space="preserve">от 07.10.2024 г. № 49 </w:t>
      </w:r>
      <w:r w:rsidR="007170F9" w:rsidRPr="007170F9">
        <w:rPr>
          <w:spacing w:val="2"/>
        </w:rPr>
        <w:t>«</w:t>
      </w:r>
      <w:r w:rsidR="007170F9">
        <w:t>О создании административной комиссии </w:t>
      </w:r>
      <w:r w:rsidR="007170F9" w:rsidRPr="007170F9">
        <w:t>по выявлению, инвентаризации и обследованию </w:t>
      </w:r>
      <w:r w:rsidR="007170F9" w:rsidRPr="007170F9">
        <w:br/>
        <w:t xml:space="preserve">бесхозяйного движимого, недвижимого и выморочного имущества на территории </w:t>
      </w:r>
      <w:proofErr w:type="spellStart"/>
      <w:r w:rsidR="007170F9" w:rsidRPr="007170F9">
        <w:t>Усть-Тымского</w:t>
      </w:r>
      <w:proofErr w:type="spellEnd"/>
      <w:r w:rsidR="007170F9" w:rsidRPr="007170F9">
        <w:t xml:space="preserve"> сельского поселения </w:t>
      </w:r>
      <w:proofErr w:type="spellStart"/>
      <w:r w:rsidR="007170F9" w:rsidRPr="007170F9">
        <w:t>Каргасокского</w:t>
      </w:r>
      <w:proofErr w:type="spellEnd"/>
      <w:proofErr w:type="gramEnd"/>
      <w:r w:rsidR="007170F9" w:rsidRPr="007170F9">
        <w:t xml:space="preserve"> </w:t>
      </w:r>
      <w:r w:rsidR="007170F9">
        <w:t>района</w:t>
      </w:r>
      <w:r w:rsidRPr="007170F9">
        <w:rPr>
          <w:bCs/>
        </w:rPr>
        <w:t>»</w:t>
      </w:r>
      <w:r w:rsidR="007170F9">
        <w:rPr>
          <w:bCs/>
        </w:rPr>
        <w:t xml:space="preserve"> </w:t>
      </w:r>
      <w:r w:rsidRPr="007170F9">
        <w:rPr>
          <w:spacing w:val="2"/>
        </w:rPr>
        <w:t xml:space="preserve">проведена   инвентаризация   имущества </w:t>
      </w:r>
      <w:r w:rsidR="007170F9" w:rsidRPr="007170F9">
        <w:rPr>
          <w:spacing w:val="2"/>
        </w:rPr>
        <w:t xml:space="preserve"> по состоянию на 2024 </w:t>
      </w:r>
      <w:r w:rsidRPr="007170F9">
        <w:rPr>
          <w:spacing w:val="2"/>
        </w:rPr>
        <w:t>г.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 </w:t>
      </w:r>
      <w:r w:rsidR="007170F9">
        <w:rPr>
          <w:spacing w:val="2"/>
        </w:rPr>
        <w:t xml:space="preserve">    </w:t>
      </w:r>
      <w:r w:rsidRPr="007170F9">
        <w:rPr>
          <w:spacing w:val="2"/>
        </w:rPr>
        <w:t> Инвентаризационные описи бесхозяйного имущества, прилагаемые к настоящему акту.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  </w:t>
      </w:r>
      <w:r w:rsidR="007170F9">
        <w:rPr>
          <w:spacing w:val="2"/>
        </w:rPr>
        <w:t xml:space="preserve">  </w:t>
      </w:r>
      <w:r w:rsidRPr="007170F9">
        <w:rPr>
          <w:spacing w:val="2"/>
        </w:rPr>
        <w:t>Инвентаризация    проведена    в    период   с  </w:t>
      </w:r>
      <w:r w:rsidR="007170F9">
        <w:rPr>
          <w:spacing w:val="2"/>
        </w:rPr>
        <w:t xml:space="preserve">«__»______2024 г. по «___» _________2024 </w:t>
      </w:r>
      <w:r w:rsidRPr="007170F9">
        <w:rPr>
          <w:spacing w:val="2"/>
        </w:rPr>
        <w:t>г.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 По итогам проведенной инвентаризации комиссией установлено следующее: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_____________________________________________________________________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______________________________________________________________________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_____________________________________________________________________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</w:p>
    <w:p w:rsidR="000C00C3" w:rsidRPr="007170F9" w:rsidRDefault="000C00C3" w:rsidP="000C00C3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</w:rPr>
      </w:pPr>
      <w:r w:rsidRPr="007170F9">
        <w:rPr>
          <w:spacing w:val="2"/>
        </w:rPr>
        <w:t xml:space="preserve">Приложение: на _______ </w:t>
      </w:r>
      <w:proofErr w:type="gramStart"/>
      <w:r w:rsidRPr="007170F9">
        <w:rPr>
          <w:spacing w:val="2"/>
        </w:rPr>
        <w:t>л</w:t>
      </w:r>
      <w:proofErr w:type="gramEnd"/>
      <w:r w:rsidRPr="007170F9">
        <w:rPr>
          <w:spacing w:val="2"/>
        </w:rPr>
        <w:t>.</w:t>
      </w:r>
    </w:p>
    <w:p w:rsidR="007170F9" w:rsidRPr="000C00C3" w:rsidRDefault="000C00C3" w:rsidP="00717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0F9">
        <w:rPr>
          <w:spacing w:val="2"/>
          <w:sz w:val="24"/>
          <w:szCs w:val="24"/>
        </w:rPr>
        <w:br/>
      </w:r>
      <w:r w:rsidR="007170F9" w:rsidRPr="000C00C3"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Председатель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 xml:space="preserve">                       __________________      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 </w:t>
      </w:r>
      <w:r w:rsidRPr="007170F9">
        <w:rPr>
          <w:spacing w:val="2"/>
        </w:rPr>
        <w:t> (подпись)           (расшифровка подписи)</w:t>
      </w: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>Секретарь комиссии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  </w:t>
      </w:r>
      <w:r w:rsidRPr="007170F9">
        <w:rPr>
          <w:spacing w:val="2"/>
        </w:rPr>
        <w:t>__________________      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(подпись)           (расшифровка подписи)</w:t>
      </w:r>
    </w:p>
    <w:p w:rsid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Члены комиссии      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 xml:space="preserve">                    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  (подпись) 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> (подпись) 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__________________      ________________________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 w:rsidRPr="007170F9">
        <w:rPr>
          <w:spacing w:val="2"/>
        </w:rPr>
        <w:t>                          </w:t>
      </w:r>
      <w:r>
        <w:rPr>
          <w:spacing w:val="2"/>
        </w:rPr>
        <w:t xml:space="preserve">          </w:t>
      </w:r>
      <w:r w:rsidRPr="007170F9">
        <w:rPr>
          <w:spacing w:val="2"/>
        </w:rPr>
        <w:t xml:space="preserve"> (подпись) </w:t>
      </w:r>
      <w:r>
        <w:rPr>
          <w:spacing w:val="2"/>
        </w:rPr>
        <w:t>          (расшифровка подписи)</w:t>
      </w:r>
    </w:p>
    <w:p w:rsidR="007170F9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  </w:t>
      </w:r>
      <w:r w:rsidRPr="007170F9">
        <w:rPr>
          <w:spacing w:val="2"/>
        </w:rPr>
        <w:t>__________________      _______________________</w:t>
      </w:r>
    </w:p>
    <w:p w:rsidR="00E52697" w:rsidRPr="007170F9" w:rsidRDefault="007170F9" w:rsidP="007170F9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                </w:t>
      </w:r>
      <w:r w:rsidRPr="007170F9">
        <w:rPr>
          <w:spacing w:val="2"/>
        </w:rPr>
        <w:t>(подпись)           (расшифровка подписи)</w:t>
      </w:r>
    </w:p>
    <w:sectPr w:rsidR="00E52697" w:rsidRPr="0071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5E9B"/>
    <w:multiLevelType w:val="multilevel"/>
    <w:tmpl w:val="59B60D7C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18"/>
    <w:rsid w:val="000C00C3"/>
    <w:rsid w:val="00437954"/>
    <w:rsid w:val="007170F9"/>
    <w:rsid w:val="00CA4718"/>
    <w:rsid w:val="00E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4718"/>
    <w:rPr>
      <w:color w:val="0000FF"/>
      <w:u w:val="single"/>
    </w:rPr>
  </w:style>
  <w:style w:type="paragraph" w:styleId="a5">
    <w:name w:val="No Spacing"/>
    <w:uiPriority w:val="1"/>
    <w:qFormat/>
    <w:rsid w:val="004379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379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7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0C00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C00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C00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4718"/>
    <w:rPr>
      <w:color w:val="0000FF"/>
      <w:u w:val="single"/>
    </w:rPr>
  </w:style>
  <w:style w:type="paragraph" w:styleId="a5">
    <w:name w:val="No Spacing"/>
    <w:uiPriority w:val="1"/>
    <w:qFormat/>
    <w:rsid w:val="004379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379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37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0C00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C00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C00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4959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2024-10-24T07:30:00Z</dcterms:created>
  <dcterms:modified xsi:type="dcterms:W3CDTF">2024-10-24T08:31:00Z</dcterms:modified>
</cp:coreProperties>
</file>