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69" w:rsidRDefault="009F2C69" w:rsidP="009F2C6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9F2C69" w:rsidRDefault="009F2C69" w:rsidP="009F2C6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25.09.2017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01</w:t>
      </w: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структуре органов местного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сельского поселения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Рассмотрев вопрос об утверждении структуры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9F2C69" w:rsidRDefault="009F2C69" w:rsidP="009F2C6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Утвердить следующую структуру органов местного самоуправления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поселения: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избирается всем населением сельского поселения и руководит администрацией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поселения, одновременно выполняя функции председателя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.</w:t>
      </w:r>
    </w:p>
    <w:p w:rsidR="009F2C69" w:rsidRDefault="009F2C69" w:rsidP="009F2C69">
      <w:pPr>
        <w:ind w:firstLine="0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9F2C69" w:rsidRDefault="009F2C69" w:rsidP="009F2C6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25.09.2017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02</w:t>
      </w: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создании счётной комиссии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Для проведения тайного голосования по выборам заместителя председателя Совета 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9F2C69" w:rsidRDefault="009F2C69" w:rsidP="009F2C6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Создать счётную комиссию в составе депутатов: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Владимир Иванович–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пр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едседатель счётной комиссии 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Лариса Сергеевна – секретарь счётной комиссии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Шавшин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Александр Васильевич – член счётной комиссии</w:t>
      </w:r>
    </w:p>
    <w:p w:rsidR="009F2C69" w:rsidRDefault="009F2C69" w:rsidP="009F2C69">
      <w:pPr>
        <w:ind w:firstLine="0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/>
    <w:p w:rsidR="009F2C69" w:rsidRDefault="009F2C69" w:rsidP="009F2C6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lastRenderedPageBreak/>
        <w:t>МУНИЦИПАЛЬНОЕ ОБРАЗОВАНИЕ «УСТЬ-ТЫМСКОЕ СЕЛЬСКОЕ ПОСЕЛЕНИЕ»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9F2C69" w:rsidRDefault="009F2C69" w:rsidP="009F2C6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25.09.2017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03</w:t>
      </w: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 избрании заместителя и секретаря 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Проведя тайное голосование по выборам заместителя председателя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поселения, и проведя процедуру открытого голосования об избрании секретаря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9F2C69" w:rsidRDefault="009F2C69" w:rsidP="009F2C6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9F2C69" w:rsidRDefault="009F2C69" w:rsidP="009F2C6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Заместителем председателя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избрать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Владимира Ивановича.</w:t>
      </w:r>
    </w:p>
    <w:p w:rsidR="009F2C69" w:rsidRDefault="009F2C69" w:rsidP="009F2C69">
      <w:pPr>
        <w:spacing w:before="100" w:beforeAutospacing="1" w:after="100" w:afterAutospacing="1"/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Секретарём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избрать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Лариса Сергеевна.</w:t>
      </w:r>
    </w:p>
    <w:p w:rsidR="009F2C69" w:rsidRDefault="009F2C69" w:rsidP="009F2C69">
      <w:pPr>
        <w:ind w:firstLine="0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9F2C69" w:rsidRDefault="009F2C69" w:rsidP="009F2C6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25.09.2017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04</w:t>
      </w: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формировании комитетов Совета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Рассмотрев вопрос о формировании комитетов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9F2C69" w:rsidRDefault="009F2C69" w:rsidP="009F2C6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Сформировать два комитета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 утвердить их наименования: контрольно-правовой, социально-экономический.</w:t>
      </w:r>
    </w:p>
    <w:p w:rsidR="009F2C69" w:rsidRDefault="009F2C69" w:rsidP="009F2C69">
      <w:pPr>
        <w:ind w:firstLine="0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9F2C69" w:rsidRDefault="009F2C69" w:rsidP="009F2C6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lastRenderedPageBreak/>
        <w:t>ТОМСКАЯ ОБЛАСТЬ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9F2C69" w:rsidRDefault="009F2C69" w:rsidP="009F2C69">
      <w:pPr>
        <w:jc w:val="center"/>
        <w:rPr>
          <w:rFonts w:ascii="Times New Roman" w:hAnsi="Times New Roman"/>
          <w:color w:val="1D1B11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9F2C69" w:rsidRDefault="009F2C69" w:rsidP="009F2C6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25.09.2017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05</w:t>
      </w:r>
    </w:p>
    <w:p w:rsidR="009F2C69" w:rsidRDefault="009F2C69" w:rsidP="009F2C69">
      <w:pPr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списочного состава комитетов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000000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Рассмотрев вопрос об утверждении списочного состава комитетов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9F2C69" w:rsidRDefault="009F2C69" w:rsidP="009F2C6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F2C69" w:rsidRDefault="009F2C69" w:rsidP="009F2C6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Утвердить списочный состав комитетов и председателей комитетов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поселения: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Контрольно-правовой комитет: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Черненко Г.Ш. – председатель комитета</w:t>
      </w:r>
    </w:p>
    <w:p w:rsidR="009F2C69" w:rsidRDefault="009F2C69" w:rsidP="009F2C69">
      <w:pPr>
        <w:tabs>
          <w:tab w:val="left" w:pos="3479"/>
        </w:tabs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color w:val="1D1B11"/>
          <w:sz w:val="24"/>
        </w:rPr>
        <w:t>Клостер</w:t>
      </w:r>
      <w:proofErr w:type="spellEnd"/>
      <w:r>
        <w:rPr>
          <w:rFonts w:ascii="Times New Roman" w:hAnsi="Times New Roman"/>
          <w:color w:val="1D1B11"/>
          <w:sz w:val="24"/>
        </w:rPr>
        <w:t xml:space="preserve"> С.В.</w:t>
      </w:r>
    </w:p>
    <w:p w:rsidR="009F2C69" w:rsidRDefault="009F2C69" w:rsidP="009F2C69">
      <w:pPr>
        <w:tabs>
          <w:tab w:val="left" w:pos="3479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Шушкевич Е.В.</w:t>
      </w:r>
    </w:p>
    <w:p w:rsidR="009F2C69" w:rsidRDefault="009F2C69" w:rsidP="009F2C69">
      <w:pPr>
        <w:tabs>
          <w:tab w:val="left" w:pos="3479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tabs>
          <w:tab w:val="left" w:pos="3479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Социально-экономический комитет: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Шавшин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А.В. – председатель комитета</w:t>
      </w:r>
    </w:p>
    <w:p w:rsidR="009F2C69" w:rsidRDefault="009F2C69" w:rsidP="009F2C69">
      <w:pPr>
        <w:tabs>
          <w:tab w:val="left" w:pos="3932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ab/>
        <w:t xml:space="preserve">  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Л.С.</w:t>
      </w:r>
    </w:p>
    <w:p w:rsidR="009F2C69" w:rsidRDefault="009F2C69" w:rsidP="009F2C69">
      <w:pPr>
        <w:tabs>
          <w:tab w:val="left" w:pos="3932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ab/>
        <w:t xml:space="preserve">   Волков В.В.</w:t>
      </w:r>
    </w:p>
    <w:p w:rsidR="009F2C69" w:rsidRDefault="009F2C69" w:rsidP="009F2C69">
      <w:pPr>
        <w:tabs>
          <w:tab w:val="left" w:pos="3932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ab/>
        <w:t xml:space="preserve">  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В.И. 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F2C69" w:rsidRDefault="009F2C69" w:rsidP="009F2C6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F2C69" w:rsidRDefault="009F2C69" w:rsidP="009F2C69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068"/>
    <w:multiLevelType w:val="hybridMultilevel"/>
    <w:tmpl w:val="5690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2C69"/>
    <w:rsid w:val="000A3F75"/>
    <w:rsid w:val="004815AF"/>
    <w:rsid w:val="004B724E"/>
    <w:rsid w:val="005F5122"/>
    <w:rsid w:val="00753606"/>
    <w:rsid w:val="0078134D"/>
    <w:rsid w:val="0079386B"/>
    <w:rsid w:val="008D7DCB"/>
    <w:rsid w:val="009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9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C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F2C69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3973</Characters>
  <Application>Microsoft Office Word</Application>
  <DocSecurity>0</DocSecurity>
  <Lines>33</Lines>
  <Paragraphs>9</Paragraphs>
  <ScaleCrop>false</ScaleCrop>
  <Company>X-ТEAM Group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2017-09-25T11:56:00Z</cp:lastPrinted>
  <dcterms:created xsi:type="dcterms:W3CDTF">2017-09-25T11:47:00Z</dcterms:created>
  <dcterms:modified xsi:type="dcterms:W3CDTF">2017-09-25T11:56:00Z</dcterms:modified>
</cp:coreProperties>
</file>